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14" w:rsidRDefault="00412914" w:rsidP="00412914">
      <w:pPr>
        <w:spacing w:after="0" w:line="240" w:lineRule="auto"/>
        <w:ind w:left="720"/>
        <w:rPr>
          <w:rFonts w:ascii="Bookman Old Style" w:eastAsia="Times New Roman" w:hAnsi="Bookman Old Style" w:cs="Tahoma"/>
          <w:b/>
          <w:color w:val="0000FF"/>
          <w:lang w:eastAsia="pl-PL"/>
        </w:rPr>
      </w:pPr>
    </w:p>
    <w:p w:rsidR="00412914" w:rsidRDefault="00412914" w:rsidP="00412914">
      <w:pPr>
        <w:spacing w:after="0" w:line="240" w:lineRule="auto"/>
        <w:ind w:left="720"/>
        <w:jc w:val="center"/>
        <w:rPr>
          <w:rFonts w:ascii="Bookman Old Style" w:eastAsia="Times New Roman" w:hAnsi="Bookman Old Style" w:cs="Tahoma"/>
          <w:b/>
          <w:color w:val="0000FF"/>
          <w:lang w:eastAsia="pl-PL"/>
        </w:rPr>
      </w:pPr>
      <w:r w:rsidRPr="00412914">
        <w:rPr>
          <w:rFonts w:ascii="Bookman Old Style" w:eastAsia="Times New Roman" w:hAnsi="Bookman Old Style" w:cs="Tahoma"/>
          <w:b/>
          <w:color w:val="0000FF"/>
          <w:lang w:eastAsia="pl-PL"/>
        </w:rPr>
        <w:t xml:space="preserve">Informacja </w:t>
      </w:r>
      <w:r w:rsidR="00F865AF">
        <w:rPr>
          <w:rFonts w:ascii="Bookman Old Style" w:eastAsia="Times New Roman" w:hAnsi="Bookman Old Style" w:cs="Tahoma"/>
          <w:b/>
          <w:color w:val="0000FF"/>
          <w:lang w:eastAsia="pl-PL"/>
        </w:rPr>
        <w:t>dla ucznia i rodzica</w:t>
      </w:r>
    </w:p>
    <w:p w:rsidR="00412914" w:rsidRDefault="00412914" w:rsidP="00412914">
      <w:pPr>
        <w:spacing w:after="0" w:line="240" w:lineRule="auto"/>
        <w:ind w:left="720"/>
        <w:jc w:val="center"/>
        <w:rPr>
          <w:rFonts w:ascii="Bookman Old Style" w:eastAsia="Times New Roman" w:hAnsi="Bookman Old Style" w:cs="Tahoma"/>
          <w:b/>
          <w:color w:val="0000FF"/>
          <w:lang w:eastAsia="pl-PL"/>
        </w:rPr>
      </w:pPr>
      <w:r w:rsidRPr="00412914">
        <w:rPr>
          <w:rFonts w:ascii="Bookman Old Style" w:eastAsia="Times New Roman" w:hAnsi="Bookman Old Style" w:cs="Tahoma"/>
          <w:b/>
          <w:color w:val="0000FF"/>
          <w:lang w:eastAsia="pl-PL"/>
        </w:rPr>
        <w:t xml:space="preserve">o sposobie organizacji i przeprowadzania egzaminu gimnazjalnego </w:t>
      </w:r>
    </w:p>
    <w:p w:rsidR="00412914" w:rsidRPr="00412914" w:rsidRDefault="00412914" w:rsidP="00412914">
      <w:pPr>
        <w:spacing w:after="0" w:line="240" w:lineRule="auto"/>
        <w:ind w:left="720"/>
        <w:jc w:val="center"/>
        <w:rPr>
          <w:rFonts w:ascii="Bookman Old Style" w:eastAsia="Times New Roman" w:hAnsi="Bookman Old Style" w:cs="Tahoma"/>
          <w:b/>
          <w:color w:val="3B3B3B"/>
          <w:lang w:eastAsia="pl-PL"/>
        </w:rPr>
      </w:pPr>
      <w:r w:rsidRPr="00412914">
        <w:rPr>
          <w:rFonts w:ascii="Bookman Old Style" w:eastAsia="Times New Roman" w:hAnsi="Bookman Old Style" w:cs="Tahoma"/>
          <w:b/>
          <w:color w:val="0000FF"/>
          <w:lang w:eastAsia="pl-PL"/>
        </w:rPr>
        <w:t>w roku szkolnym 201</w:t>
      </w:r>
      <w:r w:rsidR="002247A4">
        <w:rPr>
          <w:rFonts w:ascii="Bookman Old Style" w:eastAsia="Times New Roman" w:hAnsi="Bookman Old Style" w:cs="Tahoma"/>
          <w:b/>
          <w:color w:val="0000FF"/>
          <w:lang w:eastAsia="pl-PL"/>
        </w:rPr>
        <w:t>8</w:t>
      </w:r>
      <w:r w:rsidRPr="00412914">
        <w:rPr>
          <w:rFonts w:ascii="Bookman Old Style" w:eastAsia="Times New Roman" w:hAnsi="Bookman Old Style" w:cs="Tahoma"/>
          <w:b/>
          <w:color w:val="0000FF"/>
          <w:lang w:eastAsia="pl-PL"/>
        </w:rPr>
        <w:t>/201</w:t>
      </w:r>
      <w:r w:rsidR="002247A4">
        <w:rPr>
          <w:rFonts w:ascii="Bookman Old Style" w:eastAsia="Times New Roman" w:hAnsi="Bookman Old Style" w:cs="Tahoma"/>
          <w:b/>
          <w:color w:val="0000FF"/>
          <w:lang w:eastAsia="pl-PL"/>
        </w:rPr>
        <w:t>9</w:t>
      </w:r>
    </w:p>
    <w:p w:rsidR="009863F0" w:rsidRPr="002270FB" w:rsidRDefault="009863F0">
      <w:pPr>
        <w:rPr>
          <w:rFonts w:ascii="Bookman Old Style" w:hAnsi="Bookman Old Style"/>
        </w:rPr>
      </w:pPr>
    </w:p>
    <w:p w:rsidR="009863F0" w:rsidRPr="00412914" w:rsidRDefault="009863F0" w:rsidP="00B252C2">
      <w:pPr>
        <w:spacing w:after="288" w:line="240" w:lineRule="auto"/>
        <w:jc w:val="center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b/>
          <w:bCs/>
          <w:i/>
          <w:iCs/>
          <w:color w:val="008000"/>
          <w:sz w:val="20"/>
          <w:szCs w:val="20"/>
          <w:lang w:eastAsia="pl-PL"/>
        </w:rPr>
        <w:t>Egzamin gimnazjalny  odbędzie się w dniach 1</w:t>
      </w:r>
      <w:r w:rsidR="002247A4">
        <w:rPr>
          <w:rFonts w:ascii="Bookman Old Style" w:eastAsia="Times New Roman" w:hAnsi="Bookman Old Style" w:cs="Tahoma"/>
          <w:b/>
          <w:bCs/>
          <w:i/>
          <w:iCs/>
          <w:color w:val="008000"/>
          <w:sz w:val="20"/>
          <w:szCs w:val="20"/>
          <w:lang w:eastAsia="pl-PL"/>
        </w:rPr>
        <w:t>0</w:t>
      </w:r>
      <w:r w:rsidRPr="00412914">
        <w:rPr>
          <w:rFonts w:ascii="Bookman Old Style" w:eastAsia="Times New Roman" w:hAnsi="Bookman Old Style" w:cs="Tahoma"/>
          <w:b/>
          <w:bCs/>
          <w:i/>
          <w:iCs/>
          <w:color w:val="008000"/>
          <w:sz w:val="20"/>
          <w:szCs w:val="20"/>
          <w:lang w:eastAsia="pl-PL"/>
        </w:rPr>
        <w:t xml:space="preserve"> </w:t>
      </w:r>
      <w:r w:rsidR="002247A4">
        <w:rPr>
          <w:rFonts w:ascii="Bookman Old Style" w:eastAsia="Times New Roman" w:hAnsi="Bookman Old Style" w:cs="Tahoma"/>
          <w:b/>
          <w:bCs/>
          <w:i/>
          <w:iCs/>
          <w:color w:val="008000"/>
          <w:sz w:val="20"/>
          <w:szCs w:val="20"/>
          <w:lang w:eastAsia="pl-PL"/>
        </w:rPr>
        <w:t>–</w:t>
      </w:r>
      <w:r w:rsidRPr="00412914">
        <w:rPr>
          <w:rFonts w:ascii="Bookman Old Style" w:eastAsia="Times New Roman" w:hAnsi="Bookman Old Style" w:cs="Tahoma"/>
          <w:b/>
          <w:bCs/>
          <w:i/>
          <w:iCs/>
          <w:color w:val="008000"/>
          <w:sz w:val="20"/>
          <w:szCs w:val="20"/>
          <w:lang w:eastAsia="pl-PL"/>
        </w:rPr>
        <w:t xml:space="preserve"> </w:t>
      </w:r>
      <w:r w:rsidR="002247A4">
        <w:rPr>
          <w:rFonts w:ascii="Bookman Old Style" w:eastAsia="Times New Roman" w:hAnsi="Bookman Old Style" w:cs="Tahoma"/>
          <w:b/>
          <w:bCs/>
          <w:i/>
          <w:iCs/>
          <w:color w:val="008000"/>
          <w:sz w:val="20"/>
          <w:szCs w:val="20"/>
          <w:lang w:eastAsia="pl-PL"/>
        </w:rPr>
        <w:t xml:space="preserve">12 </w:t>
      </w:r>
      <w:r w:rsidRPr="00412914">
        <w:rPr>
          <w:rFonts w:ascii="Bookman Old Style" w:eastAsia="Times New Roman" w:hAnsi="Bookman Old Style" w:cs="Tahoma"/>
          <w:b/>
          <w:bCs/>
          <w:i/>
          <w:iCs/>
          <w:color w:val="008000"/>
          <w:sz w:val="20"/>
          <w:szCs w:val="20"/>
          <w:lang w:eastAsia="pl-PL"/>
        </w:rPr>
        <w:t>kwietnia 201</w:t>
      </w:r>
      <w:r w:rsidR="002247A4">
        <w:rPr>
          <w:rFonts w:ascii="Bookman Old Style" w:eastAsia="Times New Roman" w:hAnsi="Bookman Old Style" w:cs="Tahoma"/>
          <w:b/>
          <w:bCs/>
          <w:i/>
          <w:iCs/>
          <w:color w:val="008000"/>
          <w:sz w:val="20"/>
          <w:szCs w:val="20"/>
          <w:lang w:eastAsia="pl-PL"/>
        </w:rPr>
        <w:t>9</w:t>
      </w:r>
      <w:r w:rsidRPr="00412914">
        <w:rPr>
          <w:rFonts w:ascii="Bookman Old Style" w:eastAsia="Times New Roman" w:hAnsi="Bookman Old Style" w:cs="Tahoma"/>
          <w:b/>
          <w:bCs/>
          <w:i/>
          <w:iCs/>
          <w:color w:val="008000"/>
          <w:sz w:val="20"/>
          <w:szCs w:val="20"/>
          <w:lang w:eastAsia="pl-PL"/>
        </w:rPr>
        <w:t>r.</w:t>
      </w:r>
      <w:r w:rsidRPr="00412914">
        <w:rPr>
          <w:rFonts w:ascii="Tahoma" w:eastAsia="Times New Roman" w:hAnsi="Tahoma" w:cs="Tahoma"/>
          <w:color w:val="3B3B3B"/>
          <w:sz w:val="20"/>
          <w:szCs w:val="20"/>
          <w:lang w:eastAsia="pl-PL"/>
        </w:rPr>
        <w:t> </w:t>
      </w:r>
    </w:p>
    <w:tbl>
      <w:tblPr>
        <w:tblW w:w="83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943"/>
        <w:gridCol w:w="1834"/>
        <w:gridCol w:w="1544"/>
        <w:gridCol w:w="860"/>
        <w:gridCol w:w="1206"/>
        <w:gridCol w:w="806"/>
        <w:gridCol w:w="1278"/>
      </w:tblGrid>
      <w:tr w:rsidR="009863F0" w:rsidRPr="009863F0" w:rsidTr="00412914">
        <w:trPr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  <w:t> </w:t>
            </w:r>
          </w:p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Część egzaminu</w:t>
            </w:r>
          </w:p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i przedmioty wchodzące</w:t>
            </w:r>
          </w:p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 w jej zakres/poziom</w:t>
            </w:r>
          </w:p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Godzina</w:t>
            </w:r>
          </w:p>
          <w:p w:rsidR="009863F0" w:rsidRPr="00412914" w:rsidRDefault="00412914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w</w:t>
            </w:r>
            <w:r w:rsidR="009863F0" w:rsidRP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ejścia</w:t>
            </w:r>
          </w:p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 na salę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Godzina rozpoczęcia</w:t>
            </w:r>
          </w:p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Czas trwania</w:t>
            </w:r>
          </w:p>
          <w:p w:rsidR="009863F0" w:rsidRPr="00412914" w:rsidRDefault="00412914" w:rsidP="00412914">
            <w:pPr>
              <w:spacing w:after="0" w:line="240" w:lineRule="auto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i/>
                <w:iCs/>
                <w:color w:val="3B3B3B"/>
                <w:sz w:val="18"/>
                <w:szCs w:val="18"/>
                <w:lang w:eastAsia="pl-PL"/>
              </w:rPr>
              <w:t xml:space="preserve">(w </w:t>
            </w:r>
            <w:r w:rsidR="009863F0" w:rsidRPr="00412914">
              <w:rPr>
                <w:rFonts w:ascii="Bookman Old Style" w:eastAsia="Times New Roman" w:hAnsi="Bookman Old Style" w:cs="Tahoma"/>
                <w:b/>
                <w:bCs/>
                <w:i/>
                <w:iCs/>
                <w:color w:val="3B3B3B"/>
                <w:sz w:val="18"/>
                <w:szCs w:val="18"/>
                <w:lang w:eastAsia="pl-PL"/>
              </w:rPr>
              <w:t>min</w:t>
            </w:r>
            <w:r>
              <w:rPr>
                <w:rFonts w:ascii="Bookman Old Style" w:eastAsia="Times New Roman" w:hAnsi="Bookman Old Style" w:cs="Tahoma"/>
                <w:b/>
                <w:bCs/>
                <w:i/>
                <w:iCs/>
                <w:color w:val="3B3B3B"/>
                <w:sz w:val="18"/>
                <w:szCs w:val="18"/>
                <w:lang w:eastAsia="pl-PL"/>
              </w:rPr>
              <w:t>.</w:t>
            </w:r>
            <w:r w:rsidR="009863F0" w:rsidRPr="00412914">
              <w:rPr>
                <w:rFonts w:ascii="Bookman Old Style" w:eastAsia="Times New Roman" w:hAnsi="Bookman Old Style" w:cs="Tahoma"/>
                <w:b/>
                <w:bCs/>
                <w:i/>
                <w:iCs/>
                <w:color w:val="3B3B3B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Maksymalny czas</w:t>
            </w:r>
          </w:p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bCs/>
                <w:i/>
                <w:iCs/>
                <w:color w:val="3B3B3B"/>
                <w:sz w:val="18"/>
                <w:szCs w:val="18"/>
                <w:lang w:eastAsia="pl-PL"/>
              </w:rPr>
              <w:t> (w min</w:t>
            </w:r>
            <w:r w:rsidR="00412914">
              <w:rPr>
                <w:rFonts w:ascii="Bookman Old Style" w:eastAsia="Times New Roman" w:hAnsi="Bookman Old Style" w:cs="Tahoma"/>
                <w:b/>
                <w:bCs/>
                <w:i/>
                <w:iCs/>
                <w:color w:val="3B3B3B"/>
                <w:sz w:val="18"/>
                <w:szCs w:val="18"/>
                <w:lang w:eastAsia="pl-PL"/>
              </w:rPr>
              <w:t>.</w:t>
            </w:r>
            <w:r w:rsidRPr="00412914">
              <w:rPr>
                <w:rFonts w:ascii="Bookman Old Style" w:eastAsia="Times New Roman" w:hAnsi="Bookman Old Style" w:cs="Tahoma"/>
                <w:b/>
                <w:bCs/>
                <w:i/>
                <w:iCs/>
                <w:color w:val="3B3B3B"/>
                <w:sz w:val="18"/>
                <w:szCs w:val="18"/>
                <w:lang w:eastAsia="pl-PL"/>
              </w:rPr>
              <w:t>)</w:t>
            </w:r>
          </w:p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trwania egzaminu</w:t>
            </w:r>
          </w:p>
          <w:p w:rsidR="009863F0" w:rsidRPr="00412914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dla uczniów, którym  czas może być wydłużony</w:t>
            </w:r>
          </w:p>
        </w:tc>
      </w:tr>
      <w:tr w:rsidR="009863F0" w:rsidRPr="009863F0" w:rsidTr="00412914">
        <w:trPr>
          <w:trHeight w:val="419"/>
          <w:jc w:val="center"/>
        </w:trPr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1</w:t>
            </w:r>
            <w:r w:rsidR="002247A4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0</w:t>
            </w:r>
            <w:r w:rsidRPr="009863F0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.04</w:t>
            </w:r>
            <w:r w:rsid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.</w:t>
            </w:r>
          </w:p>
          <w:p w:rsidR="00412914" w:rsidRPr="00412914" w:rsidRDefault="00412914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color w:val="3B3B3B"/>
                <w:sz w:val="18"/>
                <w:szCs w:val="18"/>
                <w:lang w:eastAsia="pl-PL"/>
              </w:rPr>
            </w:pPr>
            <w:r w:rsidRPr="00412914">
              <w:rPr>
                <w:rFonts w:ascii="Bookman Old Style" w:eastAsia="Times New Roman" w:hAnsi="Bookman Old Style" w:cs="Tahoma"/>
                <w:b/>
                <w:color w:val="3B3B3B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ind w:left="113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Humanistyczna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Historia i wiedza</w:t>
            </w:r>
          </w:p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o społeczeństwie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008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80</w:t>
            </w:r>
          </w:p>
        </w:tc>
      </w:tr>
      <w:tr w:rsidR="009863F0" w:rsidRPr="009863F0" w:rsidTr="00412914">
        <w:trPr>
          <w:trHeight w:val="28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język  polski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008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135</w:t>
            </w:r>
          </w:p>
        </w:tc>
      </w:tr>
      <w:tr w:rsidR="009863F0" w:rsidRPr="009863F0" w:rsidTr="00412914">
        <w:trPr>
          <w:trHeight w:val="344"/>
          <w:jc w:val="center"/>
        </w:trPr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Default="002553E1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1</w:t>
            </w:r>
            <w:r w:rsidR="002247A4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1</w:t>
            </w:r>
            <w:r w:rsidR="009863F0" w:rsidRPr="009863F0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.04</w:t>
            </w:r>
            <w:r w:rsid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.</w:t>
            </w:r>
          </w:p>
          <w:p w:rsidR="00412914" w:rsidRPr="009863F0" w:rsidRDefault="00412914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color w:val="3B3B3B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ind w:left="113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Matematyczno - przyrodnicza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Przyroda</w:t>
            </w:r>
          </w:p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i/>
                <w:iCs/>
                <w:color w:val="3B3B3B"/>
                <w:sz w:val="20"/>
                <w:szCs w:val="20"/>
                <w:lang w:eastAsia="pl-PL"/>
              </w:rPr>
              <w:t>(biologia, chemia, fizyka, geografia)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008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80</w:t>
            </w:r>
          </w:p>
        </w:tc>
      </w:tr>
      <w:tr w:rsidR="009863F0" w:rsidRPr="009863F0" w:rsidTr="00412914">
        <w:trPr>
          <w:trHeight w:val="34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008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135</w:t>
            </w:r>
          </w:p>
        </w:tc>
      </w:tr>
      <w:tr w:rsidR="009863F0" w:rsidRPr="009863F0" w:rsidTr="00412914">
        <w:trPr>
          <w:trHeight w:val="413"/>
          <w:jc w:val="center"/>
        </w:trPr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Default="002247A4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12</w:t>
            </w:r>
            <w:r w:rsidR="009863F0" w:rsidRPr="009863F0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.04</w:t>
            </w:r>
            <w:r w:rsidR="00412914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.</w:t>
            </w:r>
          </w:p>
          <w:p w:rsidR="00412914" w:rsidRPr="009863F0" w:rsidRDefault="00412914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ind w:left="113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Z  języka obcego nowożytnego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Język obcy</w:t>
            </w:r>
          </w:p>
          <w:p w:rsidR="009863F0" w:rsidRPr="009863F0" w:rsidRDefault="009863F0" w:rsidP="009863F0">
            <w:pPr>
              <w:spacing w:after="0" w:line="240" w:lineRule="auto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i/>
                <w:iCs/>
                <w:color w:val="3B3B3B"/>
                <w:sz w:val="20"/>
                <w:szCs w:val="20"/>
                <w:lang w:eastAsia="pl-PL"/>
              </w:rPr>
              <w:t>(zgodnie z deklaracją)</w:t>
            </w:r>
          </w:p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poziom podstawowy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008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80</w:t>
            </w:r>
          </w:p>
        </w:tc>
      </w:tr>
      <w:tr w:rsidR="009863F0" w:rsidRPr="009863F0" w:rsidTr="00412914">
        <w:trPr>
          <w:trHeight w:val="33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poziom rozszerzony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008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F0" w:rsidRPr="009863F0" w:rsidRDefault="009863F0" w:rsidP="009863F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90</w:t>
            </w:r>
          </w:p>
        </w:tc>
      </w:tr>
    </w:tbl>
    <w:p w:rsidR="009863F0" w:rsidRPr="009863F0" w:rsidRDefault="009863F0" w:rsidP="009863F0">
      <w:pPr>
        <w:spacing w:after="0" w:line="240" w:lineRule="auto"/>
        <w:rPr>
          <w:rFonts w:ascii="Tahoma" w:eastAsia="Times New Roman" w:hAnsi="Tahoma" w:cs="Tahoma"/>
          <w:color w:val="3B3B3B"/>
          <w:sz w:val="9"/>
          <w:szCs w:val="9"/>
          <w:lang w:eastAsia="pl-PL"/>
        </w:rPr>
      </w:pPr>
      <w:r w:rsidRPr="009863F0">
        <w:rPr>
          <w:rFonts w:ascii="Tahoma" w:eastAsia="Times New Roman" w:hAnsi="Tahoma" w:cs="Tahoma"/>
          <w:color w:val="3B3B3B"/>
          <w:sz w:val="9"/>
          <w:szCs w:val="9"/>
          <w:lang w:eastAsia="pl-PL"/>
        </w:rPr>
        <w:t> </w:t>
      </w:r>
    </w:p>
    <w:p w:rsidR="009863F0" w:rsidRPr="009863F0" w:rsidRDefault="009863F0" w:rsidP="009863F0">
      <w:pPr>
        <w:spacing w:after="288" w:line="240" w:lineRule="auto"/>
        <w:rPr>
          <w:rFonts w:ascii="Tahoma" w:eastAsia="Times New Roman" w:hAnsi="Tahoma" w:cs="Tahoma"/>
          <w:color w:val="3B3B3B"/>
          <w:sz w:val="9"/>
          <w:szCs w:val="9"/>
          <w:lang w:eastAsia="pl-PL"/>
        </w:rPr>
      </w:pPr>
      <w:r w:rsidRPr="009863F0">
        <w:rPr>
          <w:rFonts w:ascii="Tahoma" w:eastAsia="Times New Roman" w:hAnsi="Tahoma" w:cs="Tahoma"/>
          <w:color w:val="3B3B3B"/>
          <w:sz w:val="9"/>
          <w:szCs w:val="9"/>
          <w:lang w:eastAsia="pl-PL"/>
        </w:rPr>
        <w:t> </w:t>
      </w:r>
    </w:p>
    <w:p w:rsidR="00B252C2" w:rsidRPr="00B252C2" w:rsidRDefault="009863F0" w:rsidP="00B252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Uczeń zgłasza się na każdy zakres/poziom egzaminu w miejscu i czasie wyznaczonym przez dyrektora szkoły –</w:t>
      </w:r>
      <w:r w:rsidRPr="00B252C2">
        <w:rPr>
          <w:rFonts w:ascii="Bookman Old Style" w:eastAsia="Times New Roman" w:hAnsi="Bookman Old Style" w:cs="Tahoma"/>
          <w:color w:val="008000"/>
          <w:sz w:val="20"/>
          <w:szCs w:val="20"/>
          <w:lang w:eastAsia="pl-PL"/>
        </w:rPr>
        <w:t> ok. 8:25, listy uczniów i sal będą wywieszone na tablicy ogłoszeń.</w:t>
      </w:r>
    </w:p>
    <w:p w:rsidR="00B252C2" w:rsidRDefault="009863F0" w:rsidP="00B252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O ustalonej godzinie </w:t>
      </w:r>
      <w:r w:rsidRPr="00B252C2">
        <w:rPr>
          <w:rFonts w:ascii="Bookman Old Style" w:eastAsia="Times New Roman" w:hAnsi="Bookman Old Style" w:cs="Tahoma"/>
          <w:color w:val="008000"/>
          <w:sz w:val="20"/>
          <w:szCs w:val="20"/>
          <w:lang w:eastAsia="pl-PL"/>
        </w:rPr>
        <w:t>(8:30) 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zdający wchodzą do sali pojedynczo, według kolejności na liście i zajmują miejsca przy stolikach, których numery wylosowali. Każdy uczeń powinien mieć przy sobie </w:t>
      </w:r>
      <w:r w:rsidRPr="00B252C2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dokument stwierdzający tożsamość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 </w:t>
      </w:r>
      <w:r w:rsidRPr="00B252C2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(np. ważną legitymację szkolną)</w:t>
      </w:r>
      <w:r w:rsid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.</w:t>
      </w:r>
    </w:p>
    <w:p w:rsidR="009863F0" w:rsidRPr="00B252C2" w:rsidRDefault="00B252C2" w:rsidP="00B252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b/>
          <w:bCs/>
          <w:color w:val="008000"/>
          <w:sz w:val="20"/>
          <w:szCs w:val="20"/>
          <w:lang w:eastAsia="pl-PL"/>
        </w:rPr>
        <w:t xml:space="preserve">Na egzamin uczeń </w:t>
      </w:r>
      <w:r w:rsidR="009863F0" w:rsidRPr="00B252C2">
        <w:rPr>
          <w:rFonts w:ascii="Bookman Old Style" w:eastAsia="Times New Roman" w:hAnsi="Bookman Old Style" w:cs="Tahoma"/>
          <w:b/>
          <w:bCs/>
          <w:color w:val="008000"/>
          <w:sz w:val="20"/>
          <w:szCs w:val="20"/>
          <w:lang w:eastAsia="pl-PL"/>
        </w:rPr>
        <w:t>przynosi ze sobą  przybory do pisania tj. pióro lub długopis z czarnym tuszem/atramentem  oraz – w przypadku egzaminu  z zakresu matematyki –</w:t>
      </w:r>
      <w:r>
        <w:rPr>
          <w:rFonts w:ascii="Bookman Old Style" w:eastAsia="Times New Roman" w:hAnsi="Bookman Old Style" w:cs="Tahoma"/>
          <w:b/>
          <w:bCs/>
          <w:color w:val="008000"/>
          <w:sz w:val="20"/>
          <w:szCs w:val="20"/>
          <w:lang w:eastAsia="pl-PL"/>
        </w:rPr>
        <w:t xml:space="preserve"> </w:t>
      </w:r>
      <w:r w:rsidR="009863F0" w:rsidRPr="00B252C2">
        <w:rPr>
          <w:rFonts w:ascii="Bookman Old Style" w:eastAsia="Times New Roman" w:hAnsi="Bookman Old Style" w:cs="Tahoma"/>
          <w:b/>
          <w:bCs/>
          <w:color w:val="008000"/>
          <w:sz w:val="20"/>
          <w:szCs w:val="20"/>
          <w:lang w:eastAsia="pl-PL"/>
        </w:rPr>
        <w:t>linijkę. Uczeń może mieć małą butelkę z wodą, którą w czasie rozwiązywania zadań ustawia na podłodze obok nogi stolika aby nie zalać arkusza.</w:t>
      </w:r>
    </w:p>
    <w:p w:rsidR="00B252C2" w:rsidRDefault="00B252C2" w:rsidP="00B252C2">
      <w:pPr>
        <w:spacing w:after="0" w:line="240" w:lineRule="auto"/>
        <w:rPr>
          <w:rFonts w:ascii="Bookman Old Style" w:eastAsia="Times New Roman" w:hAnsi="Bookman Old Style" w:cs="Tahoma"/>
          <w:b/>
          <w:bCs/>
          <w:color w:val="FF0000"/>
          <w:sz w:val="20"/>
          <w:szCs w:val="20"/>
          <w:lang w:eastAsia="pl-PL"/>
        </w:rPr>
      </w:pPr>
    </w:p>
    <w:p w:rsidR="00B252C2" w:rsidRDefault="009863F0" w:rsidP="00B252C2">
      <w:pPr>
        <w:spacing w:after="0" w:line="240" w:lineRule="auto"/>
        <w:rPr>
          <w:rFonts w:ascii="Bookman Old Style" w:eastAsia="Times New Roman" w:hAnsi="Bookman Old Style" w:cs="Tahoma"/>
          <w:b/>
          <w:bCs/>
          <w:color w:val="FF0000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b/>
          <w:bCs/>
          <w:color w:val="FF0000"/>
          <w:sz w:val="20"/>
          <w:szCs w:val="20"/>
          <w:lang w:eastAsia="pl-PL"/>
        </w:rPr>
        <w:t xml:space="preserve">Na egzaminie nie można korzystać z kalkulatora oraz słowników. Nie wolno także </w:t>
      </w:r>
    </w:p>
    <w:p w:rsidR="009863F0" w:rsidRDefault="009863F0" w:rsidP="00B252C2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color w:val="FF0000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b/>
          <w:bCs/>
          <w:color w:val="FF0000"/>
          <w:sz w:val="20"/>
          <w:szCs w:val="20"/>
          <w:lang w:eastAsia="pl-PL"/>
        </w:rPr>
        <w:t>i używać żadnych urządzeń telekomunikacyjnych.</w:t>
      </w:r>
    </w:p>
    <w:p w:rsidR="00B252C2" w:rsidRPr="00B252C2" w:rsidRDefault="00B252C2" w:rsidP="00B252C2">
      <w:p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</w:p>
    <w:p w:rsidR="009863F0" w:rsidRPr="00B252C2" w:rsidRDefault="009863F0" w:rsidP="00B252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lastRenderedPageBreak/>
        <w:t>Przewodniczący zespołu nadzorującego w obecności przedstawiciela zdających odbiera pakiety z materiałami egzaminacyjnymi i przenosi je do sali egzaminacyjnej.</w:t>
      </w:r>
    </w:p>
    <w:p w:rsidR="00B252C2" w:rsidRDefault="009863F0" w:rsidP="00B252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Arkusze egzaminacyjne rozdaje się zdającym o godzinie wyznaczonej</w:t>
      </w:r>
      <w:r w:rsid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                              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w harmonogramie ogłoszonym przez dyrektora Centralnej Komisji Egzaminacyjnej jako godzina rozpoczęcia egzaminu z danego zakresu/poziomu.</w:t>
      </w:r>
    </w:p>
    <w:p w:rsidR="00B252C2" w:rsidRPr="00B252C2" w:rsidRDefault="009863F0" w:rsidP="00B252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Po otrzymaniu właściwego arkusza na polecenie przewodniczącego zespołu nadzorującego zdający ma obowiązek:</w:t>
      </w:r>
    </w:p>
    <w:p w:rsidR="00B252C2" w:rsidRDefault="009863F0" w:rsidP="00B252C2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Zapoznać się z instrukcją wydrukowaną na pierwszej stronie arkusza</w:t>
      </w:r>
      <w:r w:rsid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egzaminacyjnego; w razie wątpliwości może poprosić o jej wyjaśnienie członków zespołu nadzorującego</w:t>
      </w:r>
      <w:r w:rsid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.</w:t>
      </w:r>
    </w:p>
    <w:p w:rsidR="00B252C2" w:rsidRPr="00B252C2" w:rsidRDefault="009863F0" w:rsidP="00B252C2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Sprawdzić, czy materiały egzaminacyjne są kompletne, tzn. czy zawierają:</w:t>
      </w:r>
    </w:p>
    <w:p w:rsidR="00B252C2" w:rsidRPr="00B252C2" w:rsidRDefault="009863F0" w:rsidP="00B252C2">
      <w:pPr>
        <w:pStyle w:val="Akapitzlist"/>
        <w:numPr>
          <w:ilvl w:val="0"/>
          <w:numId w:val="6"/>
        </w:numPr>
        <w:spacing w:after="0" w:line="240" w:lineRule="auto"/>
        <w:ind w:firstLine="273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b/>
          <w:bCs/>
          <w:color w:val="3B3B3B"/>
          <w:sz w:val="20"/>
          <w:szCs w:val="20"/>
          <w:lang w:eastAsia="pl-PL"/>
        </w:rPr>
        <w:t>w części pierwszej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 z zakresu</w:t>
      </w:r>
      <w:r w:rsid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:</w:t>
      </w:r>
      <w:r w:rsidRPr="00B252C2">
        <w:rPr>
          <w:rFonts w:ascii="Bookman Old Style" w:eastAsia="Times New Roman" w:hAnsi="Bookman Old Style" w:cs="Tahoma"/>
          <w:b/>
          <w:bCs/>
          <w:color w:val="3B3B3B"/>
          <w:sz w:val="20"/>
          <w:szCs w:val="20"/>
          <w:lang w:eastAsia="pl-PL"/>
        </w:rPr>
        <w:t xml:space="preserve">  </w:t>
      </w:r>
    </w:p>
    <w:p w:rsidR="00B252C2" w:rsidRDefault="00B252C2" w:rsidP="00B252C2">
      <w:pPr>
        <w:spacing w:after="0" w:line="240" w:lineRule="auto"/>
        <w:ind w:left="1305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b/>
          <w:bCs/>
          <w:color w:val="3B3B3B"/>
          <w:sz w:val="20"/>
          <w:szCs w:val="20"/>
          <w:lang w:eastAsia="pl-PL"/>
        </w:rPr>
        <w:t xml:space="preserve">- </w:t>
      </w:r>
      <w:r w:rsidR="009863F0"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historii i wiedzy o społeczeństwie – zeszyt zadań i kartę odpowiedzi</w:t>
      </w:r>
    </w:p>
    <w:p w:rsidR="00B252C2" w:rsidRDefault="00B252C2" w:rsidP="00B252C2">
      <w:pPr>
        <w:spacing w:after="0" w:line="240" w:lineRule="auto"/>
        <w:ind w:left="1418" w:hanging="142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b/>
          <w:bCs/>
          <w:color w:val="3B3B3B"/>
          <w:sz w:val="20"/>
          <w:szCs w:val="20"/>
          <w:lang w:eastAsia="pl-PL"/>
        </w:rPr>
        <w:t>-</w:t>
      </w:r>
      <w:r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</w:t>
      </w:r>
      <w:r w:rsidR="009863F0"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języka polskiego – zeszyt zadań, kartę rozwiązań zadań otwartych oraz kartę </w:t>
      </w:r>
      <w:r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 </w:t>
      </w:r>
      <w:r w:rsidR="009863F0"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odpowiedzi</w:t>
      </w:r>
    </w:p>
    <w:p w:rsidR="009863F0" w:rsidRPr="00B252C2" w:rsidRDefault="009863F0" w:rsidP="00B252C2">
      <w:pPr>
        <w:pStyle w:val="Akapitzlist"/>
        <w:numPr>
          <w:ilvl w:val="0"/>
          <w:numId w:val="6"/>
        </w:numPr>
        <w:spacing w:after="0" w:line="240" w:lineRule="auto"/>
        <w:ind w:firstLine="273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b/>
          <w:bCs/>
          <w:color w:val="3B3B3B"/>
          <w:sz w:val="20"/>
          <w:szCs w:val="20"/>
          <w:lang w:eastAsia="pl-PL"/>
        </w:rPr>
        <w:t>w części drugiej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 z zakresu:</w:t>
      </w:r>
    </w:p>
    <w:p w:rsidR="00B252C2" w:rsidRDefault="00B252C2" w:rsidP="00B252C2">
      <w:pPr>
        <w:spacing w:after="0" w:line="240" w:lineRule="auto"/>
        <w:ind w:firstLine="1276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- </w:t>
      </w:r>
      <w:r w:rsidR="009863F0"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przedmiotów przyrodniczych – zeszyt zadań i kartę odpowiedzi</w:t>
      </w:r>
    </w:p>
    <w:p w:rsidR="00B252C2" w:rsidRDefault="00B252C2" w:rsidP="00B252C2">
      <w:pPr>
        <w:spacing w:after="0" w:line="240" w:lineRule="auto"/>
        <w:ind w:left="1418" w:hanging="142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- </w:t>
      </w:r>
      <w:r w:rsidR="009863F0"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matematyki – zeszyt zadań, kartę rozwiązań zadań otwartych oraz kartę od</w:t>
      </w:r>
      <w:r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powiedzi                       </w:t>
      </w:r>
    </w:p>
    <w:p w:rsidR="00B252C2" w:rsidRPr="00B252C2" w:rsidRDefault="009863F0" w:rsidP="00B252C2">
      <w:pPr>
        <w:pStyle w:val="Akapitzlist"/>
        <w:numPr>
          <w:ilvl w:val="0"/>
          <w:numId w:val="6"/>
        </w:numPr>
        <w:spacing w:after="0" w:line="240" w:lineRule="auto"/>
        <w:ind w:firstLine="273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b/>
          <w:bCs/>
          <w:color w:val="3B3B3B"/>
          <w:sz w:val="20"/>
          <w:szCs w:val="20"/>
          <w:lang w:eastAsia="pl-PL"/>
        </w:rPr>
        <w:t>w części trzeciej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 na poziomie:</w:t>
      </w:r>
    </w:p>
    <w:p w:rsidR="00B252C2" w:rsidRDefault="00B252C2" w:rsidP="00B252C2">
      <w:pPr>
        <w:spacing w:after="0" w:line="240" w:lineRule="auto"/>
        <w:ind w:firstLine="1276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b/>
          <w:bCs/>
          <w:color w:val="3B3B3B"/>
          <w:sz w:val="20"/>
          <w:szCs w:val="20"/>
          <w:lang w:eastAsia="pl-PL"/>
        </w:rPr>
        <w:t xml:space="preserve">- </w:t>
      </w:r>
      <w:r w:rsidR="009863F0"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podstawowym – zeszyt zadań i kartę odpowiedzi</w:t>
      </w:r>
    </w:p>
    <w:p w:rsidR="00B252C2" w:rsidRPr="00B252C2" w:rsidRDefault="00B252C2" w:rsidP="00B252C2">
      <w:pPr>
        <w:spacing w:after="0" w:line="240" w:lineRule="auto"/>
        <w:ind w:left="1418" w:hanging="142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- </w:t>
      </w:r>
      <w:r w:rsidR="009863F0"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rozszerzonym – zeszyt zadań, kartę rozwiązań zadań otwartych oraz kartę odpowiedzi                                        </w:t>
      </w:r>
    </w:p>
    <w:p w:rsidR="00965496" w:rsidRPr="00965496" w:rsidRDefault="009863F0" w:rsidP="00965496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Sprawdzić, czy arkusz egzaminacyjny ma wszystkie kolejne strony, czy są one</w:t>
      </w:r>
      <w:r w:rsid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wyraźnie wydrukowane, czy w zeszycie zadań znajduje się wymieniona </w:t>
      </w:r>
      <w:r w:rsid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                       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w instrukcji liczba zadań </w:t>
      </w:r>
      <w:r w:rsidRPr="00B252C2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(braki zdający powinien natychmiast zgłosić przewodniczącemu zespołu nadzorującego, a po otrzymaniu kompletnego arkusza – potwierdzić jego odbiór czytelnym podpisem w odpowiednim miejscu protokołu przebiegu danego zakresu/poziomu egzaminu).</w:t>
      </w:r>
    </w:p>
    <w:p w:rsidR="00965496" w:rsidRDefault="009863F0" w:rsidP="00965496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Zakodować arkusz. </w:t>
      </w:r>
    </w:p>
    <w:p w:rsidR="009863F0" w:rsidRPr="00965496" w:rsidRDefault="009863F0" w:rsidP="00965496">
      <w:pPr>
        <w:pStyle w:val="Akapitzlist"/>
        <w:spacing w:after="0" w:line="240" w:lineRule="auto"/>
        <w:ind w:left="993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Uczeń koduje:</w:t>
      </w:r>
    </w:p>
    <w:p w:rsidR="009863F0" w:rsidRPr="00965496" w:rsidRDefault="009863F0" w:rsidP="00965496">
      <w:pPr>
        <w:pStyle w:val="Akapitzlist"/>
        <w:numPr>
          <w:ilvl w:val="0"/>
          <w:numId w:val="6"/>
        </w:numPr>
        <w:spacing w:after="0" w:line="240" w:lineRule="auto"/>
        <w:ind w:firstLine="414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w części pierwszej z zakresu:</w:t>
      </w:r>
    </w:p>
    <w:p w:rsidR="00965496" w:rsidRDefault="009863F0" w:rsidP="009654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historii i wiedzy o społeczeństwie – zeszyt zadań egzaminacyjnych i kartę odpowiedzi</w:t>
      </w:r>
    </w:p>
    <w:p w:rsidR="00965496" w:rsidRPr="00965496" w:rsidRDefault="009863F0" w:rsidP="009654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języka polskiego – zeszyt zadań egzaminacyjnych, kartę rozwiązań zadań egzaminacyjnych oraz  kartę odpowiedzi</w:t>
      </w:r>
    </w:p>
    <w:p w:rsidR="00965496" w:rsidRPr="00965496" w:rsidRDefault="009863F0" w:rsidP="00965496">
      <w:pPr>
        <w:pStyle w:val="Akapitzlist"/>
        <w:numPr>
          <w:ilvl w:val="0"/>
          <w:numId w:val="6"/>
        </w:numPr>
        <w:spacing w:after="0" w:line="240" w:lineRule="auto"/>
        <w:ind w:firstLine="414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w części drugiej z zakresu:</w:t>
      </w:r>
    </w:p>
    <w:p w:rsidR="00965496" w:rsidRDefault="009863F0" w:rsidP="00965496">
      <w:pPr>
        <w:pStyle w:val="Akapitzlist"/>
        <w:numPr>
          <w:ilvl w:val="0"/>
          <w:numId w:val="8"/>
        </w:numPr>
        <w:spacing w:after="0" w:line="240" w:lineRule="auto"/>
        <w:ind w:left="1701" w:hanging="425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przedmiotów przyrodniczych – zeszyt zadań egzaminacyjnych i kartę odpowiedzi</w:t>
      </w:r>
    </w:p>
    <w:p w:rsidR="00965496" w:rsidRPr="00965496" w:rsidRDefault="009863F0" w:rsidP="00965496">
      <w:pPr>
        <w:pStyle w:val="Akapitzlist"/>
        <w:numPr>
          <w:ilvl w:val="0"/>
          <w:numId w:val="8"/>
        </w:numPr>
        <w:spacing w:after="0" w:line="240" w:lineRule="auto"/>
        <w:ind w:left="1701" w:hanging="425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matematyki – zeszyt zadań egzaminacyjnych, kartę rozwiązań zadań egzaminacyjnych oraz  kartę odpowiedzi</w:t>
      </w:r>
    </w:p>
    <w:p w:rsidR="009863F0" w:rsidRPr="00965496" w:rsidRDefault="009863F0" w:rsidP="00965496">
      <w:pPr>
        <w:pStyle w:val="Akapitzlist"/>
        <w:numPr>
          <w:ilvl w:val="0"/>
          <w:numId w:val="6"/>
        </w:numPr>
        <w:spacing w:after="0" w:line="240" w:lineRule="auto"/>
        <w:ind w:firstLine="414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w części trzeciej z języka obcego nowożytnego:</w:t>
      </w:r>
    </w:p>
    <w:p w:rsidR="00965496" w:rsidRDefault="009863F0" w:rsidP="00965496">
      <w:pPr>
        <w:pStyle w:val="Akapitzlist"/>
        <w:numPr>
          <w:ilvl w:val="0"/>
          <w:numId w:val="9"/>
        </w:numPr>
        <w:spacing w:after="0" w:line="240" w:lineRule="auto"/>
        <w:ind w:left="1701" w:hanging="425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w przypadku arkusza na poziomie podstawowym – zeszyt zadań egzaminacyjnych oraz kartę odpowiedzi</w:t>
      </w:r>
    </w:p>
    <w:p w:rsidR="00B252C2" w:rsidRPr="00965496" w:rsidRDefault="009863F0" w:rsidP="00B252C2">
      <w:pPr>
        <w:pStyle w:val="Akapitzlist"/>
        <w:numPr>
          <w:ilvl w:val="0"/>
          <w:numId w:val="9"/>
        </w:numPr>
        <w:spacing w:after="0" w:line="240" w:lineRule="auto"/>
        <w:ind w:left="1701" w:hanging="425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w przypadku arkusza na poziomie rozszerzonym – zeszyt zadań egzaminacyjnych, kartę rozwiązań  zadań egzaminacyjnych oraz kartę odpowiedzi.</w:t>
      </w:r>
    </w:p>
    <w:p w:rsidR="00965496" w:rsidRDefault="00B252C2" w:rsidP="009654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P</w:t>
      </w:r>
      <w:r w:rsidR="009863F0"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o rozdaniu zdającym arkuszy egzaminacyjnych uczniowie spóźnieni nie zostają wpuszczeni do sali egzaminacyjnej. W uzasadnionych przypadkach, jednak nie później niż po zakończeniu czynności organizacyjnych, decyzję o wpuszczeniu do sali egzaminacyjnej ucznia spóźnionego podejmuje przewodniczący zespołu nadzorującego, ale zdający kończy pracę z arkuszem egzaminacyjnym o czasie zapisanym na tablicy. Uczeń zapoznaje się</w:t>
      </w:r>
      <w:r w:rsid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</w:t>
      </w:r>
      <w:r w:rsidR="009863F0"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z instrukcją dla zdającego zamieszczoną na pierwszej stronie arkusza. Zdający sprawdza,</w:t>
      </w:r>
      <w:r w:rsid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</w:t>
      </w:r>
      <w:r w:rsidR="009863F0"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czy arkusz egzaminacyjny jest kompletny i zawiera kolejno ponumerowane wszystkie strony. W razie potrzeby zgłasza braki przewodniczącemu zespołu nadzorującego dany zakres odpowiedniej części egzaminu i otrzymuje kompletny arkusz.</w:t>
      </w:r>
    </w:p>
    <w:p w:rsidR="00965496" w:rsidRDefault="009863F0" w:rsidP="009654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Czas przeznaczony na rozwiązywanie zadań liczy się od momentu zapisania na tablicy godziny rozpoczęcia.  W przypadku egzaminu z języka obcego nowożytnego </w:t>
      </w: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lastRenderedPageBreak/>
        <w:t>bezpośrednio po zapisaniu czasu rozpoczęcia i zakończenia rozwiązywania zadań odtworzone zostaje nagranie z płyty CD.</w:t>
      </w:r>
    </w:p>
    <w:p w:rsidR="00965496" w:rsidRPr="00965496" w:rsidRDefault="009863F0" w:rsidP="009654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Zdający rozwiązuje zadania, zaznacza lub zapisuje odpowiedzi w wyznaczonych miejscach </w:t>
      </w:r>
      <w:r w:rsidRPr="00965496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wyłącznie długopisem lub piórem z czarnym tuszem</w:t>
      </w:r>
      <w:r w:rsidR="00965496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.</w:t>
      </w:r>
    </w:p>
    <w:p w:rsidR="00965496" w:rsidRDefault="009863F0" w:rsidP="00965496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Zdający zaznacza odpowiedzi do zadań zamkniętych na karcie o</w:t>
      </w:r>
      <w:r w:rsid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dpowiedzi (nie dotyczy uczniów słabowidzących</w:t>
      </w: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i słabosłyszących, oraz uczniów ze specyficznymi trudnościami w uczeniu się).</w:t>
      </w:r>
    </w:p>
    <w:p w:rsidR="00965496" w:rsidRPr="00965496" w:rsidRDefault="009863F0" w:rsidP="00965496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W czasie pracy z arkuszem egzaminacyjnym zdający pracuje samodzielnie i nie zakłóca przebiegu egzaminu, a w szczególności:</w:t>
      </w:r>
    </w:p>
    <w:p w:rsidR="00965496" w:rsidRDefault="009863F0" w:rsidP="009654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nie opuszcza sali egzaminacyjnej</w:t>
      </w: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 </w:t>
      </w:r>
      <w:r w:rsidRPr="00965496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(tylko w uzasadnionych przypadkach przewodniczący zespołu  nadzorującego może zezwolić uczniowi na opuszczenie sali egzaminacyjnej po zapewnieniu warunków  wykluczających możliwość kontaktowania się ucznia z innymi osobami, z wyjątkiem osób udzielających</w:t>
      </w:r>
      <w:r w:rsidR="00965496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 xml:space="preserve"> </w:t>
      </w:r>
      <w:r w:rsidRPr="00965496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pomocy medycznej.</w:t>
      </w: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 </w:t>
      </w:r>
      <w:r w:rsidRPr="00965496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W przypadku konieczności wyjścia z sali zdający sygnalizuje taką potrzebę przez  podniesienie ręki. Po uzyskaniu zezwolenia przewodniczącego zespołu nadzorującego na zdający pozostawi</w:t>
      </w:r>
      <w:r w:rsidR="00965496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 xml:space="preserve">a </w:t>
      </w:r>
      <w:r w:rsidRPr="00965496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zamknięty arkusz egzaminacyjny na swoim stoliku, a czas jego nieobecności jest odnotowywany w protokole</w:t>
      </w:r>
      <w:r w:rsidR="00965496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 xml:space="preserve"> </w:t>
      </w:r>
      <w:r w:rsidRPr="00965496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 xml:space="preserve">przebiegu egzaminu w danej </w:t>
      </w:r>
      <w:r w:rsidR="00965496" w:rsidRPr="00965496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S</w:t>
      </w:r>
      <w:r w:rsidRPr="00965496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ali</w:t>
      </w:r>
      <w:r w:rsidR="00965496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.</w:t>
      </w:r>
    </w:p>
    <w:p w:rsidR="00965496" w:rsidRPr="00965496" w:rsidRDefault="009863F0" w:rsidP="009654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nie opuszcza wylosowanego w sali miejsca</w:t>
      </w:r>
    </w:p>
    <w:p w:rsidR="00965496" w:rsidRPr="00965496" w:rsidRDefault="009863F0" w:rsidP="009654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w żadnej formie nie porozumiewa się z innymi zdającymi</w:t>
      </w:r>
    </w:p>
    <w:p w:rsidR="00965496" w:rsidRPr="00965496" w:rsidRDefault="00965496" w:rsidP="009654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nie wypowiada uwag i komentarzy</w:t>
      </w:r>
    </w:p>
    <w:p w:rsidR="009863F0" w:rsidRPr="00965496" w:rsidRDefault="009863F0" w:rsidP="00B252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nie zadaje żadnych pytań dotyczących zadań egzaminacyjnych.</w:t>
      </w:r>
    </w:p>
    <w:p w:rsidR="00B92997" w:rsidRDefault="009863F0" w:rsidP="00412914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965496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Uczeń, który jest chory, może korzystać w czasie trwania egzaminu gimnazjalnego</w:t>
      </w:r>
      <w:r w:rsidR="00B92997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               </w:t>
      </w:r>
      <w:r w:rsidRPr="00B92997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ze sprzętu medycznego i leków koniecznych ze względu na chorobę, pod warunkiem,</w:t>
      </w:r>
      <w:r w:rsidR="00B92997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</w:t>
      </w:r>
      <w:r w:rsidRPr="00B92997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 że taka konieczność została zgłoszona przewodniczącemu zespołu egzaminacyjnego przed rozpoczęciem danej części egzaminu gimnazjalnego.</w:t>
      </w:r>
    </w:p>
    <w:p w:rsidR="00B92997" w:rsidRPr="00B92997" w:rsidRDefault="009863F0" w:rsidP="00412914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92997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W przypadku:</w:t>
      </w:r>
    </w:p>
    <w:p w:rsidR="00B92997" w:rsidRPr="00B92997" w:rsidRDefault="009863F0" w:rsidP="00B92997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92997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stwierdzenia niesamodzielnego rozwiązywania zadań egzaminacyjnych</w:t>
      </w:r>
      <w:r w:rsidR="00B92997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 </w:t>
      </w:r>
      <w:r w:rsidRPr="00B92997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przez ucznia</w:t>
      </w:r>
    </w:p>
    <w:p w:rsidR="00412914" w:rsidRPr="00412914" w:rsidRDefault="009863F0" w:rsidP="00412914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92997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 wniesienia przez ucznia do sali egzaminacyjnej urządzenia telekomunikacyjnego albo korzystania przez ucznia z urządzenia telekomunikacyjnego w sali egzaminacyjnej</w:t>
      </w:r>
    </w:p>
    <w:p w:rsidR="00412914" w:rsidRPr="00412914" w:rsidRDefault="009863F0" w:rsidP="00412914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zakłócania przez ucznia prawidłow</w:t>
      </w:r>
      <w:r w:rsidR="00B92997" w:rsidRP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ego przebiegu egzaminu w sposób </w:t>
      </w:r>
      <w:r w:rsidRP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utrudniający pracę pozostałym uczniom </w:t>
      </w:r>
    </w:p>
    <w:p w:rsidR="00412914" w:rsidRDefault="009863F0" w:rsidP="00412914">
      <w:pPr>
        <w:spacing w:after="0" w:line="240" w:lineRule="auto"/>
        <w:ind w:left="709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p</w:t>
      </w:r>
      <w:r w:rsid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rzewodniczący szkolnego zespołu </w:t>
      </w:r>
      <w:r w:rsidRP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egzaminacyjnego </w:t>
      </w:r>
      <w:r w:rsidRPr="00412914">
        <w:rPr>
          <w:rFonts w:ascii="Bookman Old Style" w:eastAsia="Times New Roman" w:hAnsi="Bookman Old Style" w:cs="Tahoma"/>
          <w:b/>
          <w:bCs/>
          <w:color w:val="FF0000"/>
          <w:sz w:val="20"/>
          <w:szCs w:val="20"/>
          <w:lang w:eastAsia="pl-PL"/>
        </w:rPr>
        <w:t>przerywa</w:t>
      </w:r>
      <w:r w:rsidRP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 </w:t>
      </w:r>
      <w:r w:rsidR="00412914">
        <w:rPr>
          <w:rFonts w:ascii="Bookman Old Style" w:eastAsia="Times New Roman" w:hAnsi="Bookman Old Style" w:cs="Tahoma"/>
          <w:b/>
          <w:bCs/>
          <w:color w:val="FF0000"/>
          <w:sz w:val="20"/>
          <w:szCs w:val="20"/>
          <w:lang w:eastAsia="pl-PL"/>
        </w:rPr>
        <w:t xml:space="preserve">danemu </w:t>
      </w:r>
      <w:r w:rsidRPr="00412914">
        <w:rPr>
          <w:rFonts w:ascii="Bookman Old Style" w:eastAsia="Times New Roman" w:hAnsi="Bookman Old Style" w:cs="Tahoma"/>
          <w:b/>
          <w:bCs/>
          <w:color w:val="FF0000"/>
          <w:sz w:val="20"/>
          <w:szCs w:val="20"/>
          <w:lang w:eastAsia="pl-PL"/>
        </w:rPr>
        <w:t>uczniowi</w:t>
      </w:r>
      <w:r w:rsidRP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 pracę</w:t>
      </w:r>
      <w:r w:rsid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z arkuszem egzaminacyjnym,</w:t>
      </w:r>
      <w:r w:rsid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</w:t>
      </w:r>
      <w:r w:rsidR="00412914">
        <w:rPr>
          <w:rFonts w:ascii="Bookman Old Style" w:eastAsia="Times New Roman" w:hAnsi="Bookman Old Style" w:cs="Tahoma"/>
          <w:b/>
          <w:bCs/>
          <w:color w:val="3B3B3B"/>
          <w:sz w:val="20"/>
          <w:szCs w:val="20"/>
          <w:lang w:eastAsia="pl-PL"/>
        </w:rPr>
        <w:t xml:space="preserve">unieważnia 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mu</w:t>
      </w:r>
      <w:r w:rsid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odpowiedni zakres/poziom danej części egzaminu i nakazuje opuszczenie sali egzaminacyjnej.</w:t>
      </w:r>
      <w:r w:rsid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</w:t>
      </w:r>
      <w:r w:rsidRPr="00B252C2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Uczeń, któremu przewodniczący zespołu egzaminacyjnego unieważnił dany zakres albo poziom odpowiedniej części egzaminu, przeprowadzanego w terminie głównym, z jednego z powodów wyżej  określonych przystępuje ponownie do tego zakresu albo poziomu odpowiedniej części egzaminu w dodatkowym terminie ustalonym w komunikacie o harmonogramie. Jeżeli unieważnienie nastąpiło w przypadku danego zakresu albo poziomu odpowiedniej części egzaminu gimnazjalnego przeprowadzanego w terminie dodatkowym, dyrektor okręgowej komisji egzaminacyjnej ustala wynik danego zakresu albo poziomu odpowiedniej części egzaminu gimnazjalnego jako „0%”.</w:t>
      </w:r>
    </w:p>
    <w:p w:rsidR="00412914" w:rsidRDefault="009863F0" w:rsidP="004129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Zdający, który ukończył</w:t>
      </w:r>
      <w:r w:rsidR="00412914"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pracę przed wyznaczonym czasem zgłasza to przew</w:t>
      </w: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odniczącemu zespołu nadzorującego przez podniesienie ręki</w:t>
      </w:r>
      <w:r w:rsid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</w:t>
      </w: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i zamyka swój arkusz egzaminacyjny.</w:t>
      </w:r>
      <w:r w:rsid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</w:t>
      </w:r>
    </w:p>
    <w:p w:rsidR="00412914" w:rsidRPr="00412914" w:rsidRDefault="009863F0" w:rsidP="00412914">
      <w:pPr>
        <w:pStyle w:val="Akapitzlist"/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Przewodniczący lub członek zespołu nadzorującego sprawdza poprawność kodowania oraz kompletność arkusza i odbiera go. Dodatkowo, jeżeli zdający zgłasza zakończenie pracy wcześniej niż na 10 minut przed zakończeniem czasu przeznaczonego na pracę z arkuszem – przed odebraniem jego arkusza egzaminacyjnego przewodniczący lub członek zespołu nadzorującego sprawdza, czy uczeń zaznaczył odpowiedzi na karcie odpowiedzi. </w:t>
      </w:r>
      <w:r w:rsidRPr="00412914">
        <w:rPr>
          <w:rFonts w:ascii="Bookman Old Style" w:eastAsia="Times New Roman" w:hAnsi="Bookman Old Style" w:cs="Tahoma"/>
          <w:i/>
          <w:iCs/>
          <w:color w:val="FF0000"/>
          <w:sz w:val="20"/>
          <w:szCs w:val="20"/>
          <w:lang w:eastAsia="pl-PL"/>
        </w:rPr>
        <w:t>W przypadku braku zaznaczeń poleca przeniesienie odpowiedzi na kartę</w:t>
      </w:r>
      <w:r w:rsidRPr="00412914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 (nie dotyczy uczniów ze specyficz</w:t>
      </w:r>
      <w:r w:rsidR="00412914" w:rsidRPr="00412914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nymi trudnościami w uczeniu się)</w:t>
      </w:r>
    </w:p>
    <w:p w:rsidR="00412914" w:rsidRPr="00412914" w:rsidRDefault="009863F0" w:rsidP="00412914">
      <w:pPr>
        <w:pStyle w:val="Akapitzlist"/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Po otrzymaniu pozwolenia na opuszczenie sali uczeń wychodzi, </w:t>
      </w:r>
      <w:r w:rsidRP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nie zakłócając pracy pozostałym piszącym.</w:t>
      </w:r>
    </w:p>
    <w:p w:rsidR="00412914" w:rsidRPr="00412914" w:rsidRDefault="009863F0" w:rsidP="004129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lastRenderedPageBreak/>
        <w:t>Po upływie czasu przeznaczonego na rozwiązywanie zadań uczniowie, którzy przenoszą rozwiązania na kartę, </w:t>
      </w:r>
      <w:r w:rsidRP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mają 5 dodatkowych minut, żeby sprawdzić poprawność wykonania tej czynności. Ten czas </w:t>
      </w:r>
      <w:r w:rsidRPr="00412914">
        <w:rPr>
          <w:rFonts w:ascii="Bookman Old Style" w:eastAsia="Times New Roman" w:hAnsi="Bookman Old Style" w:cs="Tahoma"/>
          <w:b/>
          <w:bCs/>
          <w:color w:val="FF0000"/>
          <w:sz w:val="20"/>
          <w:szCs w:val="20"/>
          <w:lang w:eastAsia="pl-PL"/>
        </w:rPr>
        <w:t>nie może być wykorzystany</w:t>
      </w: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 na rozwiązywanie zadań, a wyłącznie na weryfikację poprawności przeniesienia rozwiązań na kartę odpowiedzi. Po upływie 5 minut zdający kończą pracę z arkuszem egzaminacyjnym </w:t>
      </w:r>
      <w:r w:rsidRP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i stosują się do poleceń przewodniczącego zespołu nadzorującego.</w:t>
      </w: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 </w:t>
      </w:r>
      <w:r w:rsidRPr="00412914">
        <w:rPr>
          <w:rFonts w:ascii="Bookman Old Style" w:eastAsia="Times New Roman" w:hAnsi="Bookman Old Style" w:cs="Tahoma"/>
          <w:b/>
          <w:bCs/>
          <w:color w:val="0000CD"/>
          <w:sz w:val="20"/>
          <w:szCs w:val="20"/>
          <w:u w:val="single"/>
          <w:lang w:eastAsia="pl-PL"/>
        </w:rPr>
        <w:t>Zdający, którzy nie zdążyli przenieść odpowiedzi na kartę odpowiedzi, zgłaszają ten fakt nauczycielowi.</w:t>
      </w:r>
    </w:p>
    <w:p w:rsidR="00412914" w:rsidRDefault="009863F0" w:rsidP="004129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Praca z drugim arkuszem egzaminacyjnym w danym dniu rozpoczyna się po przerwie i przebiega zgodnie z zasadami opisanymi w punktach od 6. do 1</w:t>
      </w:r>
      <w:r w:rsid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5</w:t>
      </w: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.</w:t>
      </w:r>
    </w:p>
    <w:p w:rsidR="00412914" w:rsidRDefault="009863F0" w:rsidP="004129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Jeżeli uczeń uzna, że w trakcie egzaminu zostały naruszone przepisy dotyczące jego przeprowadzania, on lub jego rodzice (prawni opiekunowie) mogą w terminie 2 dni od daty odpowiedniej części egzaminu zgłosić pisemne zastrzeżenia do dyrektora właściwej okręgowej komisji egzaminacyjnej. Zastrzeżenie musi zawierać dokładny opis zaistniałej sytuacji.</w:t>
      </w:r>
    </w:p>
    <w:p w:rsidR="00412914" w:rsidRDefault="009863F0" w:rsidP="004129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Dyrektor właściwej okręgowej komisji egzaminacyjnej rozpatruje zastrzeżenia </w:t>
      </w:r>
      <w:r w:rsid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                              </w:t>
      </w: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w terminie 7 dni od daty ich otrzymania. Rozstrzygnięcie dyrektora okręgowej komisji egzaminacyjnej jest ostateczne. W razie stwierdzenia naruszenia przepisów dotyczących przeprowadzania egzaminu, na skutek zastrzeżeń, o których mowa w pkt 15., lub z urzędu dyrektor okręgowej komisji egzaminacyjnej, w porozumieniu z dyrektorem Centralnej Komisji Egzaminacyjnej, </w:t>
      </w:r>
      <w:r w:rsidRP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może unieważnić odpowiedni zakres/poziom danej części egzaminu</w:t>
      </w: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, jeżeli to naruszenie mogło wpłynąć na jego wynik. Uczeń przystępuje do odpowiedniego zakresu/poziomu danej części egzaminu w terminie ustalonym przez dyrektora Centralnej Komisji Egzaminacyjnej.</w:t>
      </w:r>
    </w:p>
    <w:p w:rsidR="00412914" w:rsidRDefault="009863F0" w:rsidP="004129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Stwierdzenie podczas sprawdzania prac egzaminacyjnych niesamodzielnego rozwiązywania zadań przez uczniów skutkuje unieważnieniem odpowiedniego zakresu/poziomu danej części egzaminu tych zdających (decyzję podejmuje dyrektor okręgowej komisji egzaminacyjnej  w porozumieniu z dyrektorem Centralnej Komisji Egzaminacyjnej). Uczeń przystępuje do odpowiedniego zakresu/poziomu danej części egzaminu w terminie ustalonym przez dyrektora Centralnej Komisji Egzaminacyjne</w:t>
      </w:r>
      <w:r w:rsid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.</w:t>
      </w:r>
    </w:p>
    <w:p w:rsidR="00412914" w:rsidRDefault="009863F0" w:rsidP="004129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W przypadku stwierdzenia podczas sprawdzania pracy niesamodzielnego rozwiązywania zadań przez ucznia, który przystąpił do odpowiedniego zakresu/poziomu danej części egzaminu  w terminie dodatkowym, dyrektor okręgowej komisji egzaminacyjnej, w porozumieniu z dyrektorem Centralnej Komisji Egzaminacyjnej, unieważnia odpowiedni zakres/poziom danej części egzaminu tego ucznia (słuchacza). W zaświadczeniu o szczegółowych wynikach egzaminu dla danego ucznia (słuchacza), w miejscach przeznaczonych na wpisanie wyników uzyskanych  z odpowiednich zakresów/poziomów danej części egzaminu, wpisuje się „</w:t>
      </w:r>
      <w:r w:rsidRP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0%</w:t>
      </w: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”.</w:t>
      </w:r>
    </w:p>
    <w:p w:rsidR="009863F0" w:rsidRPr="00412914" w:rsidRDefault="009863F0" w:rsidP="004129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W sytuacjach, o których mowa </w:t>
      </w:r>
      <w:r w:rsid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powyżej</w:t>
      </w:r>
      <w:r w:rsidRP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, dyrektor komisji okręgowej przekazuje dyrektorowi szkoły oraz, za jego pośrednictwem, rodzicom (prawnym opiekunom) ucznia lub słuchaczowi, któremu został unieważniony dany zakres albo poziom odpowiedniej części egzaminu gimnazjalnego, pisemną informację o przyczynach unieważnienia.</w:t>
      </w:r>
    </w:p>
    <w:p w:rsidR="00412914" w:rsidRDefault="00412914" w:rsidP="00412914">
      <w:pPr>
        <w:spacing w:after="0" w:line="240" w:lineRule="auto"/>
        <w:ind w:left="720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</w:p>
    <w:p w:rsidR="009863F0" w:rsidRPr="00B252C2" w:rsidRDefault="009863F0" w:rsidP="00412914">
      <w:pPr>
        <w:spacing w:after="0" w:line="240" w:lineRule="auto"/>
        <w:ind w:left="426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Więcej informacji o egzaminie gimnazjalnym, w tym przykładowe zadania wraz </w:t>
      </w:r>
      <w:r w:rsidR="00412914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 xml:space="preserve">                                  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z rozwiązaniami, jest dostępnych w </w:t>
      </w:r>
      <w:r w:rsidRPr="00B252C2">
        <w:rPr>
          <w:rFonts w:ascii="Bookman Old Style" w:eastAsia="Times New Roman" w:hAnsi="Bookman Old Style" w:cs="Tahoma"/>
          <w:i/>
          <w:iCs/>
          <w:color w:val="3B3B3B"/>
          <w:sz w:val="20"/>
          <w:szCs w:val="20"/>
          <w:lang w:eastAsia="pl-PL"/>
        </w:rPr>
        <w:t>Informatorze o egzaminie gimnazjalnym od roku szkolnego 2011/2012</w:t>
      </w:r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, opublikowanym na stronie internetowej Centralnej Komisji Egzaminacyjnej (</w:t>
      </w:r>
      <w:hyperlink r:id="rId7" w:history="1">
        <w:r w:rsidRPr="00B252C2">
          <w:rPr>
            <w:rFonts w:ascii="Bookman Old Style" w:eastAsia="Times New Roman" w:hAnsi="Bookman Old Style" w:cs="Tahoma"/>
            <w:color w:val="0779BF"/>
            <w:sz w:val="20"/>
            <w:szCs w:val="20"/>
            <w:lang w:eastAsia="pl-PL"/>
          </w:rPr>
          <w:t>www.cke.edu.pl</w:t>
        </w:r>
      </w:hyperlink>
      <w:r w:rsidRPr="00B252C2"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  <w:t>).</w:t>
      </w:r>
    </w:p>
    <w:p w:rsidR="009863F0" w:rsidRPr="00B252C2" w:rsidRDefault="009863F0" w:rsidP="00412914">
      <w:pPr>
        <w:spacing w:after="0" w:line="240" w:lineRule="auto"/>
        <w:ind w:left="426"/>
        <w:jc w:val="both"/>
        <w:rPr>
          <w:rFonts w:ascii="Bookman Old Style" w:eastAsia="Times New Roman" w:hAnsi="Bookman Old Style" w:cs="Tahoma"/>
          <w:color w:val="3B3B3B"/>
          <w:sz w:val="20"/>
          <w:szCs w:val="20"/>
          <w:lang w:eastAsia="pl-PL"/>
        </w:rPr>
      </w:pPr>
      <w:r w:rsidRPr="00B252C2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Na tej samej stronie dostępne są również przykładowe arkusze egzaminacyjne wraz </w:t>
      </w:r>
      <w:r w:rsidR="0041291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                  </w:t>
      </w:r>
      <w:r w:rsidRPr="00B252C2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z rozwiązaniami oraz arkusze z sesji egzaminu gimnazjalnego z lat ubiegłych.</w:t>
      </w:r>
    </w:p>
    <w:p w:rsidR="009863F0" w:rsidRPr="00B252C2" w:rsidRDefault="009863F0" w:rsidP="00B252C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252C2" w:rsidRPr="00B252C2" w:rsidRDefault="00B252C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B252C2" w:rsidRPr="00B252C2" w:rsidSect="006C23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C0" w:rsidRDefault="00963FC0" w:rsidP="001E57E9">
      <w:pPr>
        <w:spacing w:after="0" w:line="240" w:lineRule="auto"/>
      </w:pPr>
      <w:r>
        <w:separator/>
      </w:r>
    </w:p>
  </w:endnote>
  <w:endnote w:type="continuationSeparator" w:id="1">
    <w:p w:rsidR="00963FC0" w:rsidRDefault="00963FC0" w:rsidP="001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34626"/>
      <w:docPartObj>
        <w:docPartGallery w:val="Page Numbers (Bottom of Page)"/>
        <w:docPartUnique/>
      </w:docPartObj>
    </w:sdtPr>
    <w:sdtContent>
      <w:p w:rsidR="001E57E9" w:rsidRDefault="00CC79C3">
        <w:pPr>
          <w:pStyle w:val="Stopka"/>
          <w:jc w:val="center"/>
        </w:pPr>
        <w:r w:rsidRPr="001E57E9">
          <w:rPr>
            <w:rFonts w:ascii="Bookman Old Style" w:hAnsi="Bookman Old Style"/>
            <w:sz w:val="16"/>
            <w:szCs w:val="16"/>
          </w:rPr>
          <w:fldChar w:fldCharType="begin"/>
        </w:r>
        <w:r w:rsidR="001E57E9" w:rsidRPr="001E57E9">
          <w:rPr>
            <w:rFonts w:ascii="Bookman Old Style" w:hAnsi="Bookman Old Style"/>
            <w:sz w:val="16"/>
            <w:szCs w:val="16"/>
          </w:rPr>
          <w:instrText xml:space="preserve"> PAGE   \* MERGEFORMAT </w:instrText>
        </w:r>
        <w:r w:rsidRPr="001E57E9">
          <w:rPr>
            <w:rFonts w:ascii="Bookman Old Style" w:hAnsi="Bookman Old Style"/>
            <w:sz w:val="16"/>
            <w:szCs w:val="16"/>
          </w:rPr>
          <w:fldChar w:fldCharType="separate"/>
        </w:r>
        <w:r w:rsidR="00C72405">
          <w:rPr>
            <w:rFonts w:ascii="Bookman Old Style" w:hAnsi="Bookman Old Style"/>
            <w:noProof/>
            <w:sz w:val="16"/>
            <w:szCs w:val="16"/>
          </w:rPr>
          <w:t>4</w:t>
        </w:r>
        <w:r w:rsidRPr="001E57E9"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1E57E9" w:rsidRDefault="001E5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C0" w:rsidRDefault="00963FC0" w:rsidP="001E57E9">
      <w:pPr>
        <w:spacing w:after="0" w:line="240" w:lineRule="auto"/>
      </w:pPr>
      <w:r>
        <w:separator/>
      </w:r>
    </w:p>
  </w:footnote>
  <w:footnote w:type="continuationSeparator" w:id="1">
    <w:p w:rsidR="00963FC0" w:rsidRDefault="00963FC0" w:rsidP="001E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6007"/>
    <w:multiLevelType w:val="multilevel"/>
    <w:tmpl w:val="4E54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82715"/>
    <w:multiLevelType w:val="hybridMultilevel"/>
    <w:tmpl w:val="190EACF8"/>
    <w:lvl w:ilvl="0" w:tplc="1DE0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557F"/>
    <w:multiLevelType w:val="hybridMultilevel"/>
    <w:tmpl w:val="7182FE4A"/>
    <w:lvl w:ilvl="0" w:tplc="0415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8276ED7"/>
    <w:multiLevelType w:val="hybridMultilevel"/>
    <w:tmpl w:val="DD327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9791F"/>
    <w:multiLevelType w:val="hybridMultilevel"/>
    <w:tmpl w:val="D62624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231B58"/>
    <w:multiLevelType w:val="hybridMultilevel"/>
    <w:tmpl w:val="8728A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73437"/>
    <w:multiLevelType w:val="hybridMultilevel"/>
    <w:tmpl w:val="AE6AC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554BB"/>
    <w:multiLevelType w:val="hybridMultilevel"/>
    <w:tmpl w:val="8EDE61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8367BA"/>
    <w:multiLevelType w:val="hybridMultilevel"/>
    <w:tmpl w:val="C35E8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34393"/>
    <w:multiLevelType w:val="hybridMultilevel"/>
    <w:tmpl w:val="5C9E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F27F2"/>
    <w:multiLevelType w:val="hybridMultilevel"/>
    <w:tmpl w:val="3F90D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A57"/>
    <w:rsid w:val="001E57E9"/>
    <w:rsid w:val="002247A4"/>
    <w:rsid w:val="002270FB"/>
    <w:rsid w:val="002553E1"/>
    <w:rsid w:val="00332DD8"/>
    <w:rsid w:val="00412914"/>
    <w:rsid w:val="00445A57"/>
    <w:rsid w:val="00664FD7"/>
    <w:rsid w:val="006C2344"/>
    <w:rsid w:val="00963FC0"/>
    <w:rsid w:val="00965496"/>
    <w:rsid w:val="009863F0"/>
    <w:rsid w:val="00B252C2"/>
    <w:rsid w:val="00B30083"/>
    <w:rsid w:val="00B92997"/>
    <w:rsid w:val="00C103C0"/>
    <w:rsid w:val="00C72405"/>
    <w:rsid w:val="00CC79C3"/>
    <w:rsid w:val="00D54AAB"/>
    <w:rsid w:val="00F8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344"/>
  </w:style>
  <w:style w:type="paragraph" w:styleId="Nagwek2">
    <w:name w:val="heading 2"/>
    <w:basedOn w:val="Normalny"/>
    <w:link w:val="Nagwek2Znak"/>
    <w:uiPriority w:val="9"/>
    <w:qFormat/>
    <w:rsid w:val="0044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5A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5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4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A57"/>
    <w:rPr>
      <w:b/>
      <w:bCs/>
    </w:rPr>
  </w:style>
  <w:style w:type="character" w:styleId="Uwydatnienie">
    <w:name w:val="Emphasis"/>
    <w:basedOn w:val="Domylnaczcionkaakapitu"/>
    <w:uiPriority w:val="20"/>
    <w:qFormat/>
    <w:rsid w:val="00445A57"/>
    <w:rPr>
      <w:i/>
      <w:iCs/>
    </w:rPr>
  </w:style>
  <w:style w:type="character" w:customStyle="1" w:styleId="apple-converted-space">
    <w:name w:val="apple-converted-space"/>
    <w:basedOn w:val="Domylnaczcionkaakapitu"/>
    <w:rsid w:val="009863F0"/>
  </w:style>
  <w:style w:type="paragraph" w:styleId="Akapitzlist">
    <w:name w:val="List Paragraph"/>
    <w:basedOn w:val="Normalny"/>
    <w:uiPriority w:val="34"/>
    <w:qFormat/>
    <w:rsid w:val="00B25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5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7E9"/>
  </w:style>
  <w:style w:type="paragraph" w:styleId="Stopka">
    <w:name w:val="footer"/>
    <w:basedOn w:val="Normalny"/>
    <w:link w:val="StopkaZnak"/>
    <w:uiPriority w:val="99"/>
    <w:unhideWhenUsed/>
    <w:rsid w:val="001E5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810">
          <w:marLeft w:val="0"/>
          <w:marRight w:val="0"/>
          <w:marTop w:val="0"/>
          <w:marBottom w:val="63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</w:div>
      </w:divsChild>
    </w:div>
    <w:div w:id="1695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k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2018-09-14T07:58:00Z</dcterms:created>
  <dcterms:modified xsi:type="dcterms:W3CDTF">2018-09-14T07:58:00Z</dcterms:modified>
</cp:coreProperties>
</file>